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0" w:rsidRPr="008E6320" w:rsidRDefault="008E6320" w:rsidP="008E63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  <w:t>F</w:t>
      </w:r>
      <w:r w:rsidRPr="008E6320"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  <w:t>inancial Planning During your Ministry and Beyond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6320" w:rsidRDefault="00A606FE" w:rsidP="008E6320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Tuesday 17 March 2020, Epiphany House, Truro</w:t>
      </w:r>
    </w:p>
    <w:p w:rsidR="008E6320" w:rsidRDefault="008E6320" w:rsidP="008E6320">
      <w:pPr>
        <w:rPr>
          <w:rFonts w:ascii="Arial" w:hAnsi="Arial" w:cs="Arial"/>
          <w:color w:val="000000"/>
          <w:sz w:val="20"/>
          <w:szCs w:val="20"/>
        </w:rPr>
      </w:pPr>
    </w:p>
    <w:p w:rsidR="008E6320" w:rsidRPr="008E6320" w:rsidRDefault="008E6320" w:rsidP="008E632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E6320">
        <w:rPr>
          <w:rFonts w:ascii="Trebuchet MS" w:eastAsia="Times New Roman" w:hAnsi="Trebuchet MS" w:cs="Times New Roman"/>
          <w:sz w:val="20"/>
          <w:szCs w:val="20"/>
          <w:lang w:eastAsia="en-GB"/>
        </w:rPr>
        <w:t>The aim of this seminar is to help clergy (and their partners) demystify financial matters, and to help you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plan for your financial future no matter how far you may be from retirement. </w:t>
      </w:r>
    </w:p>
    <w:p w:rsidR="008E6320" w:rsidRPr="00A606FE" w:rsidRDefault="00A606FE" w:rsidP="008E6320">
      <w:pPr>
        <w:rPr>
          <w:rFonts w:ascii="Trebuchet MS" w:hAnsi="Trebuchet MS" w:cs="Arial"/>
          <w:color w:val="000000"/>
          <w:sz w:val="20"/>
          <w:szCs w:val="20"/>
        </w:rPr>
      </w:pPr>
      <w:r w:rsidRPr="00A606FE">
        <w:rPr>
          <w:rFonts w:ascii="Trebuchet MS" w:hAnsi="Trebuchet MS" w:cs="Arial"/>
          <w:color w:val="000000"/>
          <w:sz w:val="20"/>
          <w:szCs w:val="20"/>
        </w:rPr>
        <w:t xml:space="preserve">We will be welcoming subject experts from The Church of England Pensions Board, clergy pension and housing teams; plus </w:t>
      </w:r>
      <w:r w:rsidR="007D31A6">
        <w:rPr>
          <w:rFonts w:ascii="Trebuchet MS" w:hAnsi="Trebuchet MS" w:cs="Arial"/>
          <w:color w:val="000000"/>
          <w:sz w:val="20"/>
          <w:szCs w:val="20"/>
        </w:rPr>
        <w:t xml:space="preserve">independent </w:t>
      </w:r>
      <w:r w:rsidRPr="00A606FE">
        <w:rPr>
          <w:rFonts w:ascii="Trebuchet MS" w:hAnsi="Trebuchet MS" w:cs="Arial"/>
          <w:color w:val="000000"/>
          <w:sz w:val="20"/>
          <w:szCs w:val="20"/>
        </w:rPr>
        <w:t xml:space="preserve">financial advisers from Ecclesiastical Financial Advisory Services. </w:t>
      </w:r>
    </w:p>
    <w:p w:rsidR="00A606FE" w:rsidRDefault="00A606FE" w:rsidP="008E6320">
      <w:pPr>
        <w:rPr>
          <w:rFonts w:ascii="Trebuchet MS" w:hAnsi="Trebuchet MS" w:cs="Arial"/>
          <w:color w:val="000000"/>
          <w:sz w:val="20"/>
          <w:szCs w:val="20"/>
        </w:rPr>
      </w:pPr>
      <w:r w:rsidRPr="00A606FE">
        <w:rPr>
          <w:rFonts w:ascii="Trebuchet MS" w:hAnsi="Trebuchet MS" w:cs="Arial"/>
          <w:color w:val="000000"/>
          <w:sz w:val="20"/>
          <w:szCs w:val="20"/>
        </w:rPr>
        <w:t>The speakers wi</w:t>
      </w:r>
      <w:r>
        <w:rPr>
          <w:rFonts w:ascii="Trebuchet MS" w:hAnsi="Trebuchet MS" w:cs="Arial"/>
          <w:color w:val="000000"/>
          <w:sz w:val="20"/>
          <w:szCs w:val="20"/>
        </w:rPr>
        <w:t>ll address personal financial planning issues and questions that in their experience face most clergy.</w:t>
      </w:r>
    </w:p>
    <w:p w:rsidR="00A606FE" w:rsidRDefault="00A606FE" w:rsidP="008E6320">
      <w:p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Key themes for the day:</w:t>
      </w:r>
    </w:p>
    <w:p w:rsidR="00A606FE" w:rsidRDefault="00A606FE" w:rsidP="00A606FE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General financial planning hints and tips</w:t>
      </w:r>
    </w:p>
    <w:p w:rsidR="00A606FE" w:rsidRDefault="00A606FE" w:rsidP="00A606FE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The importance of planning ahead</w:t>
      </w:r>
    </w:p>
    <w:p w:rsidR="00A606FE" w:rsidRDefault="00A606FE" w:rsidP="00A606FE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Housing options including how the church can help with buying property (or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remortgaging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>) during your ministry</w:t>
      </w:r>
    </w:p>
    <w:p w:rsidR="00A606FE" w:rsidRDefault="00A606FE" w:rsidP="00A606FE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What to expect from the clergy pension scheme and considering the options for saving more</w:t>
      </w:r>
    </w:p>
    <w:p w:rsidR="00A606FE" w:rsidRDefault="00A606FE" w:rsidP="00A606FE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Protecting your family</w:t>
      </w:r>
    </w:p>
    <w:p w:rsidR="00A606FE" w:rsidRDefault="00A606FE" w:rsidP="004057D5">
      <w:pPr>
        <w:pStyle w:val="ListParagraph"/>
        <w:numPr>
          <w:ilvl w:val="0"/>
          <w:numId w:val="3"/>
        </w:numPr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Saving and investing hints and tips including tax efficiency, investment risks and ethical investment options</w:t>
      </w:r>
    </w:p>
    <w:p w:rsidR="004057D5" w:rsidRPr="004057D5" w:rsidRDefault="004057D5" w:rsidP="004057D5">
      <w:pPr>
        <w:ind w:left="360"/>
        <w:rPr>
          <w:rFonts w:ascii="Trebuchet MS" w:hAnsi="Trebuchet MS" w:cs="Arial"/>
          <w:color w:val="000000"/>
          <w:sz w:val="20"/>
          <w:szCs w:val="20"/>
        </w:rPr>
      </w:pPr>
    </w:p>
    <w:p w:rsidR="00045AD2" w:rsidRDefault="00A606FE" w:rsidP="00A606FE">
      <w:pPr>
        <w:ind w:left="36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At the end of the sessions you will have the opportunity to ask the experts your financial questions. </w:t>
      </w:r>
    </w:p>
    <w:p w:rsidR="00530903" w:rsidRDefault="00530903" w:rsidP="00A606FE">
      <w:pPr>
        <w:ind w:left="36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After lunch, the speakers will be available for 1:1 sessions to discuss housing options, pensions and financial advice in a confidential setting. </w:t>
      </w:r>
    </w:p>
    <w:p w:rsidR="004057D5" w:rsidRPr="004057D5" w:rsidRDefault="004057D5" w:rsidP="00A606FE">
      <w:pPr>
        <w:ind w:left="360"/>
        <w:rPr>
          <w:rFonts w:ascii="Trebuchet MS" w:hAnsi="Trebuchet MS" w:cs="Arial"/>
          <w:b/>
          <w:color w:val="000000"/>
          <w:sz w:val="20"/>
          <w:szCs w:val="20"/>
        </w:rPr>
      </w:pPr>
      <w:r w:rsidRPr="004057D5">
        <w:rPr>
          <w:rFonts w:ascii="Trebuchet MS" w:hAnsi="Trebuchet MS" w:cs="Arial"/>
          <w:b/>
          <w:color w:val="000000"/>
          <w:sz w:val="20"/>
          <w:szCs w:val="20"/>
        </w:rPr>
        <w:t>Programme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7036"/>
      </w:tblGrid>
      <w:tr w:rsidR="004057D5" w:rsidTr="004057D5">
        <w:tc>
          <w:tcPr>
            <w:tcW w:w="1620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09.30</w:t>
            </w:r>
          </w:p>
        </w:tc>
        <w:tc>
          <w:tcPr>
            <w:tcW w:w="7036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Arrival coffee</w:t>
            </w:r>
          </w:p>
        </w:tc>
      </w:tr>
      <w:tr w:rsidR="004057D5" w:rsidTr="004057D5">
        <w:tc>
          <w:tcPr>
            <w:tcW w:w="1620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09.55</w:t>
            </w:r>
          </w:p>
        </w:tc>
        <w:tc>
          <w:tcPr>
            <w:tcW w:w="7036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Introduction by Rebecca Evans, Ministry Development Officer</w:t>
            </w:r>
          </w:p>
        </w:tc>
      </w:tr>
      <w:tr w:rsidR="004057D5" w:rsidTr="004057D5">
        <w:tc>
          <w:tcPr>
            <w:tcW w:w="1620" w:type="dxa"/>
            <w:shd w:val="clear" w:color="auto" w:fill="E2EFD9" w:themeFill="accent6" w:themeFillTint="33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7036" w:type="dxa"/>
            <w:shd w:val="clear" w:color="auto" w:fill="E2EFD9" w:themeFill="accent6" w:themeFillTint="33"/>
          </w:tcPr>
          <w:p w:rsidR="004057D5" w:rsidRPr="004057D5" w:rsidRDefault="004057D5" w:rsidP="004057D5">
            <w:pPr>
              <w:spacing w:before="40" w:after="40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4057D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Clergy Pension</w:t>
            </w:r>
          </w:p>
          <w:p w:rsidR="004057D5" w:rsidRP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4057D5">
              <w:rPr>
                <w:rFonts w:ascii="Trebuchet MS" w:hAnsi="Trebuchet MS" w:cs="Arial"/>
                <w:color w:val="000000"/>
                <w:sz w:val="20"/>
                <w:szCs w:val="20"/>
              </w:rPr>
              <w:t>Joel Ryan, Assistant Policy Manager</w:t>
            </w:r>
          </w:p>
        </w:tc>
      </w:tr>
      <w:tr w:rsidR="004057D5" w:rsidTr="004057D5">
        <w:tc>
          <w:tcPr>
            <w:tcW w:w="1620" w:type="dxa"/>
            <w:shd w:val="clear" w:color="auto" w:fill="E2EFD9" w:themeFill="accent6" w:themeFillTint="33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7036" w:type="dxa"/>
            <w:shd w:val="clear" w:color="auto" w:fill="E2EFD9" w:themeFill="accent6" w:themeFillTint="33"/>
          </w:tcPr>
          <w:p w:rsidR="004057D5" w:rsidRPr="004057D5" w:rsidRDefault="004057D5" w:rsidP="004057D5">
            <w:pPr>
              <w:spacing w:before="40" w:after="40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4057D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Clergy Housing</w:t>
            </w:r>
          </w:p>
          <w:p w:rsidR="004057D5" w:rsidRP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4057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Adam Preskey, Housing Officer  </w:t>
            </w:r>
          </w:p>
        </w:tc>
      </w:tr>
      <w:tr w:rsidR="004057D5" w:rsidTr="004057D5">
        <w:tc>
          <w:tcPr>
            <w:tcW w:w="1620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7036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Coffee</w:t>
            </w:r>
          </w:p>
        </w:tc>
      </w:tr>
      <w:tr w:rsidR="004057D5" w:rsidTr="004057D5">
        <w:tc>
          <w:tcPr>
            <w:tcW w:w="1620" w:type="dxa"/>
            <w:shd w:val="clear" w:color="auto" w:fill="E2EFD9" w:themeFill="accent6" w:themeFillTint="33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7036" w:type="dxa"/>
            <w:shd w:val="clear" w:color="auto" w:fill="E2EFD9" w:themeFill="accent6" w:themeFillTint="33"/>
          </w:tcPr>
          <w:p w:rsidR="004057D5" w:rsidRPr="004057D5" w:rsidRDefault="004057D5" w:rsidP="004057D5">
            <w:pPr>
              <w:spacing w:before="40" w:after="40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4057D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Ecclesiastical Financial Advisory Services</w:t>
            </w:r>
          </w:p>
          <w:p w:rsidR="004057D5" w:rsidRP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4057D5">
              <w:rPr>
                <w:rFonts w:ascii="Trebuchet MS" w:hAnsi="Trebuchet MS" w:cs="Arial"/>
                <w:color w:val="000000"/>
                <w:sz w:val="20"/>
                <w:szCs w:val="20"/>
              </w:rPr>
              <w:t>Richard Wood and Ben Dabbs, Independent Financial Advisor</w:t>
            </w:r>
          </w:p>
        </w:tc>
      </w:tr>
      <w:tr w:rsidR="004057D5" w:rsidTr="004057D5">
        <w:tc>
          <w:tcPr>
            <w:tcW w:w="1620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7036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Lunch</w:t>
            </w:r>
          </w:p>
        </w:tc>
      </w:tr>
      <w:tr w:rsidR="004057D5" w:rsidTr="004057D5">
        <w:tc>
          <w:tcPr>
            <w:tcW w:w="1620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7036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1:1 sessions</w:t>
            </w:r>
          </w:p>
        </w:tc>
      </w:tr>
      <w:tr w:rsidR="004057D5" w:rsidTr="004057D5">
        <w:tc>
          <w:tcPr>
            <w:tcW w:w="1620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7036" w:type="dxa"/>
          </w:tcPr>
          <w:p w:rsidR="004057D5" w:rsidRDefault="004057D5" w:rsidP="004057D5">
            <w:pPr>
              <w:spacing w:before="40" w:after="4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Close</w:t>
            </w:r>
          </w:p>
        </w:tc>
      </w:tr>
    </w:tbl>
    <w:p w:rsidR="00530903" w:rsidRDefault="00530903" w:rsidP="008E6320">
      <w:pPr>
        <w:rPr>
          <w:rFonts w:ascii="Trebuchet MS" w:hAnsi="Trebuchet MS" w:cs="Arial"/>
          <w:b/>
          <w:color w:val="000000"/>
          <w:sz w:val="20"/>
          <w:szCs w:val="20"/>
        </w:rPr>
      </w:pPr>
    </w:p>
    <w:p w:rsidR="004057D5" w:rsidRPr="00547500" w:rsidRDefault="00530903">
      <w:pPr>
        <w:rPr>
          <w:rFonts w:ascii="Arial" w:hAnsi="Arial" w:cs="Arial"/>
          <w:color w:val="000000"/>
          <w:sz w:val="20"/>
          <w:szCs w:val="20"/>
        </w:rPr>
      </w:pPr>
      <w:r w:rsidRPr="00547500">
        <w:rPr>
          <w:rFonts w:ascii="Trebuchet MS" w:hAnsi="Trebuchet MS" w:cs="Arial"/>
          <w:color w:val="000000"/>
          <w:sz w:val="20"/>
          <w:szCs w:val="20"/>
        </w:rPr>
        <w:t xml:space="preserve">For more information about Ecclesiastical Financial Advisory Services </w:t>
      </w:r>
      <w:hyperlink r:id="rId5" w:history="1">
        <w:r w:rsidRPr="007D31A6">
          <w:rPr>
            <w:rStyle w:val="Hyperlink"/>
            <w:rFonts w:ascii="Trebuchet MS" w:hAnsi="Trebuchet MS" w:cs="Arial"/>
            <w:sz w:val="20"/>
            <w:szCs w:val="20"/>
          </w:rPr>
          <w:t>click here</w:t>
        </w:r>
      </w:hyperlink>
      <w:r w:rsidR="008E6320" w:rsidRPr="005475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47500" w:rsidRPr="00547500" w:rsidRDefault="004057D5">
      <w:pPr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 xml:space="preserve">To book your place on this seminar please </w:t>
      </w:r>
      <w:hyperlink r:id="rId6" w:history="1">
        <w:r w:rsidRPr="007D31A6">
          <w:rPr>
            <w:rStyle w:val="Hyperlink"/>
            <w:rFonts w:ascii="Trebuchet MS" w:hAnsi="Trebuchet MS" w:cs="Arial"/>
            <w:b/>
            <w:sz w:val="20"/>
            <w:szCs w:val="20"/>
          </w:rPr>
          <w:t>click here</w:t>
        </w:r>
      </w:hyperlink>
      <w:r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</w:p>
    <w:sectPr w:rsidR="00547500" w:rsidRPr="0054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431"/>
    <w:multiLevelType w:val="hybridMultilevel"/>
    <w:tmpl w:val="66C8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129"/>
    <w:multiLevelType w:val="hybridMultilevel"/>
    <w:tmpl w:val="C782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20"/>
    <w:rsid w:val="00045AD2"/>
    <w:rsid w:val="003A0587"/>
    <w:rsid w:val="004057D5"/>
    <w:rsid w:val="004D25B5"/>
    <w:rsid w:val="005156E3"/>
    <w:rsid w:val="00530903"/>
    <w:rsid w:val="00547500"/>
    <w:rsid w:val="007D31A6"/>
    <w:rsid w:val="008E6320"/>
    <w:rsid w:val="00A606FE"/>
    <w:rsid w:val="00BC19E8"/>
    <w:rsid w:val="00D36FE4"/>
    <w:rsid w:val="00E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42CA-3709-4C5B-BCA4-A1B87958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6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3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E6320"/>
    <w:rPr>
      <w:b/>
      <w:bCs/>
    </w:rPr>
  </w:style>
  <w:style w:type="paragraph" w:styleId="ListParagraph">
    <w:name w:val="List Paragraph"/>
    <w:basedOn w:val="Normal"/>
    <w:uiPriority w:val="34"/>
    <w:qFormat/>
    <w:rsid w:val="008E632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when.com/llo-12-jan-otterham-st-juliot-village-ha/e/ev-s09b-20200317093000" TargetMode="External"/><Relationship Id="rId5" Type="http://schemas.openxmlformats.org/officeDocument/2006/relationships/hyperlink" Target="https://www.ecclesiastical.com/documents/efas-who-are-w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Pomery</dc:creator>
  <cp:keywords/>
  <dc:description/>
  <cp:lastModifiedBy>Kelly Rowe</cp:lastModifiedBy>
  <cp:revision>2</cp:revision>
  <dcterms:created xsi:type="dcterms:W3CDTF">2020-02-05T09:34:00Z</dcterms:created>
  <dcterms:modified xsi:type="dcterms:W3CDTF">2020-02-05T09:34:00Z</dcterms:modified>
</cp:coreProperties>
</file>